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"/>
        <w:gridCol w:w="14012"/>
        <w:gridCol w:w="109"/>
        <w:gridCol w:w="109"/>
        <w:gridCol w:w="109"/>
        <w:gridCol w:w="109"/>
        <w:gridCol w:w="109"/>
        <w:gridCol w:w="109"/>
        <w:gridCol w:w="109"/>
        <w:gridCol w:w="109"/>
        <w:gridCol w:w="109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4"/>
      </w:tblGrid>
      <w:tr w:rsidR="00F20F6C" w:rsidRPr="00F20F6C" w:rsidTr="009C56DE">
        <w:trPr>
          <w:gridAfter w:val="37"/>
          <w:wAfter w:w="4001" w:type="dxa"/>
          <w:trHeight w:val="315"/>
        </w:trPr>
        <w:tc>
          <w:tcPr>
            <w:tcW w:w="141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vAlign w:val="bottom"/>
            <w:hideMark/>
          </w:tcPr>
          <w:p w:rsidR="00F20F6C" w:rsidRPr="00F20F6C" w:rsidRDefault="00205321" w:rsidP="00F2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SUŞEHRİ KAYMAKAMLIĞI</w:t>
            </w:r>
          </w:p>
        </w:tc>
      </w:tr>
      <w:tr w:rsidR="00F20F6C" w:rsidRPr="00F20F6C" w:rsidTr="009C56DE">
        <w:trPr>
          <w:gridAfter w:val="37"/>
          <w:wAfter w:w="4001" w:type="dxa"/>
          <w:trHeight w:val="315"/>
        </w:trPr>
        <w:tc>
          <w:tcPr>
            <w:tcW w:w="141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vAlign w:val="bottom"/>
            <w:hideMark/>
          </w:tcPr>
          <w:p w:rsidR="00F20F6C" w:rsidRPr="00F20F6C" w:rsidRDefault="00205321" w:rsidP="00F2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Köylere Hizmet Götürme Birliği</w:t>
            </w:r>
            <w:r w:rsidR="00F20F6C" w:rsidRPr="00F20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Başkanlığından</w:t>
            </w:r>
          </w:p>
          <w:p w:rsidR="00F20F6C" w:rsidRPr="00F20F6C" w:rsidRDefault="00F20F6C" w:rsidP="00F2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0F6C" w:rsidRPr="00F20F6C" w:rsidTr="009C56DE">
        <w:trPr>
          <w:gridAfter w:val="37"/>
          <w:wAfter w:w="4001" w:type="dxa"/>
          <w:trHeight w:val="315"/>
        </w:trPr>
        <w:tc>
          <w:tcPr>
            <w:tcW w:w="141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vAlign w:val="bottom"/>
            <w:hideMark/>
          </w:tcPr>
          <w:p w:rsidR="00F20F6C" w:rsidRPr="00F20F6C" w:rsidRDefault="00F20F6C" w:rsidP="00F2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İLAN</w:t>
            </w:r>
          </w:p>
          <w:p w:rsidR="00F20F6C" w:rsidRPr="00F20F6C" w:rsidRDefault="00F20F6C" w:rsidP="00F2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0F6C" w:rsidRPr="00F20F6C" w:rsidTr="009C56DE">
        <w:trPr>
          <w:gridAfter w:val="37"/>
          <w:wAfter w:w="4001" w:type="dxa"/>
          <w:trHeight w:val="315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2" w:type="dxa"/>
            <w:tcBorders>
              <w:top w:val="nil"/>
              <w:left w:val="nil"/>
              <w:bottom w:val="nil"/>
              <w:right w:val="nil"/>
            </w:tcBorders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Aşağıda özellikleri belirtilen taşınmazların Kiralama ihalesi 2886 Sayılı Devlet İhale Kanunun </w:t>
            </w:r>
            <w:r>
              <w:t xml:space="preserve">51/g Maddesine göre pazarlık usulü </w:t>
            </w: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ile aşağıda belirtilen tarih ve saatlerde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yapılacaktır.</w:t>
            </w:r>
          </w:p>
        </w:tc>
      </w:tr>
      <w:tr w:rsidR="00F20F6C" w:rsidRPr="00F20F6C" w:rsidTr="009C56DE">
        <w:trPr>
          <w:gridAfter w:val="37"/>
          <w:wAfter w:w="4001" w:type="dxa"/>
          <w:trHeight w:val="315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2" w:type="dxa"/>
            <w:tcBorders>
              <w:top w:val="nil"/>
              <w:left w:val="nil"/>
              <w:bottom w:val="nil"/>
              <w:right w:val="nil"/>
            </w:tcBorders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İhaleler,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Taşköprü Mahallesi Sivas Caddesi Hükümet Konağı 4. Kat Suşehri/SİVAS</w:t>
            </w:r>
            <w:r w:rsidRPr="00F2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adresindeki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Kaymakamlık Makamında</w:t>
            </w:r>
            <w:r w:rsidRPr="00F2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yapılacaktır. </w:t>
            </w:r>
          </w:p>
        </w:tc>
      </w:tr>
      <w:tr w:rsidR="00F20F6C" w:rsidRPr="00F20F6C" w:rsidTr="009C56DE">
        <w:trPr>
          <w:gridAfter w:val="37"/>
          <w:wAfter w:w="4001" w:type="dxa"/>
          <w:trHeight w:val="315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İhaleye katılmak isteyen isteklilerin ihale saatine kadar;</w:t>
            </w:r>
          </w:p>
        </w:tc>
      </w:tr>
      <w:tr w:rsidR="00F20F6C" w:rsidRPr="00F20F6C" w:rsidTr="009C56DE">
        <w:trPr>
          <w:gridAfter w:val="37"/>
          <w:wAfter w:w="4001" w:type="dxa"/>
          <w:trHeight w:val="1620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2" w:type="dxa"/>
            <w:tcBorders>
              <w:top w:val="nil"/>
              <w:left w:val="nil"/>
              <w:bottom w:val="nil"/>
              <w:right w:val="nil"/>
            </w:tcBorders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Default="00F20F6C" w:rsidP="00F2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0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gramEnd"/>
            <w:r w:rsidRPr="00F20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Geçici teminatı yatırmaları; Geçici teminat olarak kabul edilecek değerler</w:t>
            </w:r>
          </w:p>
          <w:p w:rsidR="009C56DE" w:rsidRDefault="00F20F6C" w:rsidP="00F2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Tedavüldeki Türk Parası</w:t>
            </w:r>
            <w:r w:rsidR="009C5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cinsinden </w:t>
            </w: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Vakıfbank </w:t>
            </w:r>
            <w:r w:rsidR="009C5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Suşehri </w:t>
            </w: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Şubesi </w:t>
            </w:r>
            <w:proofErr w:type="gramStart"/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="009C5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0001</w:t>
            </w:r>
            <w:proofErr w:type="gramEnd"/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5001 5800 7</w:t>
            </w:r>
            <w:r w:rsidR="009C56DE">
              <w:rPr>
                <w:rFonts w:ascii="Times New Roman" w:eastAsia="Times New Roman" w:hAnsi="Times New Roman" w:cs="Times New Roman"/>
                <w:sz w:val="24"/>
                <w:szCs w:val="24"/>
              </w:rPr>
              <w:t>28 993 92 77</w:t>
            </w: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İban</w:t>
            </w:r>
            <w:proofErr w:type="spellEnd"/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hesaba taşınmazın ada parsel numarası belirtile</w:t>
            </w:r>
            <w:r w:rsidR="009C5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rek yatırılacaktır. </w:t>
            </w:r>
          </w:p>
          <w:p w:rsidR="009C56DE" w:rsidRDefault="00F20F6C" w:rsidP="00F2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2. </w:t>
            </w: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Mevduat veya katılım bankaların verecekleri süresiz teminat mektupları </w:t>
            </w:r>
            <w:proofErr w:type="gramStart"/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End"/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her teminat mektubunda daha önce ilgili banka şubesince verilen teminat mektupları toplamı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ile aynı şubenin limitlerinin de gösterilmesi zorunludur. Yabancı bankaların ve benzeri kredi kuruluşlarının </w:t>
            </w:r>
            <w:proofErr w:type="spellStart"/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kontrgarantilerine</w:t>
            </w:r>
            <w:proofErr w:type="spellEnd"/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dayanarak bankaların verecekleri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teminat mektupları, yukarıdaki miktarlara </w:t>
            </w:r>
            <w:proofErr w:type="gramStart"/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dahil</w:t>
            </w:r>
            <w:proofErr w:type="gramEnd"/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değildir.]</w:t>
            </w:r>
          </w:p>
          <w:p w:rsidR="00F20F6C" w:rsidRPr="00F20F6C" w:rsidRDefault="00F20F6C" w:rsidP="00F2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3. </w:t>
            </w: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Hazine Müsteşarlığınca ihraç edilen Devlet İç Borçlanma Senetleri veya bu senetler yerine düzenlenen belgeler</w:t>
            </w:r>
          </w:p>
          <w:p w:rsidR="00F20F6C" w:rsidRPr="00F20F6C" w:rsidRDefault="00F20F6C" w:rsidP="00F2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Nominel</w:t>
            </w:r>
            <w:proofErr w:type="spellEnd"/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bedele faiz </w:t>
            </w:r>
            <w:proofErr w:type="gramStart"/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dahil</w:t>
            </w:r>
            <w:proofErr w:type="gramEnd"/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edilerek ihraç edilmiş ise, bu işlemlerde ana paraya tekabül eden satış değerleri kabul edilir)</w:t>
            </w:r>
          </w:p>
        </w:tc>
      </w:tr>
      <w:tr w:rsidR="00F20F6C" w:rsidRPr="00F20F6C" w:rsidTr="009C56DE">
        <w:trPr>
          <w:gridAfter w:val="37"/>
          <w:wAfter w:w="4001" w:type="dxa"/>
          <w:trHeight w:val="285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0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proofErr w:type="gramEnd"/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- Şartname Bedelini Yatırmaları </w:t>
            </w:r>
          </w:p>
        </w:tc>
      </w:tr>
      <w:tr w:rsidR="00F20F6C" w:rsidRPr="00F20F6C" w:rsidTr="009C56DE">
        <w:trPr>
          <w:gridAfter w:val="37"/>
          <w:wAfter w:w="4001" w:type="dxa"/>
          <w:trHeight w:val="285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0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proofErr w:type="gramEnd"/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Kanuni yerleşim yerini gösterir belgeyi (İkametgah </w:t>
            </w:r>
            <w:proofErr w:type="spellStart"/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İlmuhaberi</w:t>
            </w:r>
            <w:proofErr w:type="spellEnd"/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) vermeleri</w:t>
            </w:r>
          </w:p>
        </w:tc>
      </w:tr>
      <w:tr w:rsidR="00F20F6C" w:rsidRPr="00F20F6C" w:rsidTr="009C56DE">
        <w:trPr>
          <w:gridAfter w:val="37"/>
          <w:wAfter w:w="4001" w:type="dxa"/>
          <w:trHeight w:val="285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d- </w:t>
            </w: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Tebligat için Türkiye</w:t>
            </w:r>
            <w:r w:rsidR="00486E77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de adres göstermeleri</w:t>
            </w:r>
          </w:p>
        </w:tc>
      </w:tr>
      <w:tr w:rsidR="00F20F6C" w:rsidRPr="00F20F6C" w:rsidTr="009C56DE">
        <w:trPr>
          <w:gridAfter w:val="37"/>
          <w:wAfter w:w="4001" w:type="dxa"/>
          <w:trHeight w:val="315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2" w:type="dxa"/>
            <w:tcBorders>
              <w:top w:val="nil"/>
              <w:left w:val="nil"/>
              <w:bottom w:val="nil"/>
              <w:right w:val="nil"/>
            </w:tcBorders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0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gramEnd"/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-Gerçek kişilerin TC Kimlik numaralarını bildirmeleri ve nüfus cüzdanı suretini vermeleri</w:t>
            </w:r>
          </w:p>
        </w:tc>
      </w:tr>
      <w:tr w:rsidR="00F20F6C" w:rsidRPr="00F20F6C" w:rsidTr="009C56DE">
        <w:trPr>
          <w:gridAfter w:val="37"/>
          <w:wAfter w:w="4001" w:type="dxa"/>
          <w:trHeight w:val="315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2" w:type="dxa"/>
            <w:tcBorders>
              <w:top w:val="nil"/>
              <w:left w:val="nil"/>
              <w:bottom w:val="nil"/>
              <w:right w:val="nil"/>
            </w:tcBorders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0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proofErr w:type="gramEnd"/>
            <w:r w:rsidRPr="00F20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Tüzel kişilerin Vergi Kimlik Numaralarını bildirmeleri</w:t>
            </w:r>
          </w:p>
        </w:tc>
      </w:tr>
      <w:tr w:rsidR="00F20F6C" w:rsidRPr="00F20F6C" w:rsidTr="009C56DE">
        <w:trPr>
          <w:gridAfter w:val="37"/>
          <w:wAfter w:w="4001" w:type="dxa"/>
          <w:trHeight w:val="1020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2" w:type="dxa"/>
            <w:tcBorders>
              <w:top w:val="nil"/>
              <w:left w:val="nil"/>
              <w:bottom w:val="nil"/>
              <w:right w:val="nil"/>
            </w:tcBorders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0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gramEnd"/>
            <w:r w:rsidRPr="00F20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 Özel hukuk tüzel kişilerinin, yukarıda belirtilen şartlardan ayrı olarak, idare merkezlerinin bulunduğu yer mahkemesinden veya siciline kayıtlı bulunduğu ticaret</w:t>
            </w:r>
            <w:r w:rsidR="003F5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veya sanayi odasından yahut benzeri mesleki kuruluştan, 20</w:t>
            </w:r>
            <w:r w:rsidR="003F52C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yılı içinde alınmış sicil kayıt belgesi ile tüzel kişilik adına ihaleye katılacak veya teklifte bulunacak</w:t>
            </w:r>
            <w:r w:rsidR="003F5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kişilerin tüzel kişiliği temsile tam yetkili olduklarını gösterir noterlikçe tasdik edilmiş imza sirkülerini ve vekaletnameyi ihalenin saatine kadar vermeleri;</w:t>
            </w:r>
          </w:p>
          <w:p w:rsidR="00F20F6C" w:rsidRPr="00F20F6C" w:rsidRDefault="00F20F6C" w:rsidP="00B8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Kamu Tüzel Kişilerinin ise yukarıdaki (a) ve (c) bentlerinde belirtilen şartlardan ayrı olarak Tüzel Kişiler adına ihaleye katılacak veya teklifte bulunacak kişilerin</w:t>
            </w:r>
            <w:r w:rsidR="00B8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tüzel kişiliği temsile yetkili olduğunu belirtir belgeyi vermeleri</w:t>
            </w:r>
            <w:r w:rsidR="00C172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F6C" w:rsidRPr="00F20F6C" w:rsidTr="009C56DE">
        <w:trPr>
          <w:gridAfter w:val="37"/>
          <w:wAfter w:w="4001" w:type="dxa"/>
          <w:trHeight w:val="600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4012" w:type="dxa"/>
            <w:tcBorders>
              <w:top w:val="nil"/>
              <w:left w:val="nil"/>
              <w:bottom w:val="nil"/>
              <w:right w:val="nil"/>
            </w:tcBorders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B8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Kiraya verilecek taşınmazın ilk yıl kira bedelinin </w:t>
            </w:r>
            <w:r w:rsidR="00B8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tamamı </w:t>
            </w: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ihalenin onaylanmasına ilişkin kararın müşteriye tebliğ tarihinden itibaren 15 gün içinde peşin olarak,</w:t>
            </w:r>
            <w:r w:rsidR="00B8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müteakip yıllar kira bedelleri ise </w:t>
            </w:r>
            <w:r w:rsidR="00B8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kiralamanın başladığı ay girmeden önce peşin olarak </w:t>
            </w: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ödenir. </w:t>
            </w:r>
          </w:p>
        </w:tc>
      </w:tr>
      <w:tr w:rsidR="00F20F6C" w:rsidRPr="00F20F6C" w:rsidTr="009C56DE">
        <w:trPr>
          <w:gridAfter w:val="37"/>
          <w:wAfter w:w="4001" w:type="dxa"/>
          <w:trHeight w:val="315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12" w:type="dxa"/>
            <w:tcBorders>
              <w:top w:val="nil"/>
              <w:left w:val="nil"/>
              <w:bottom w:val="nil"/>
              <w:right w:val="nil"/>
            </w:tcBorders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B8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İhalelere ilişkin şartname ve </w:t>
            </w:r>
            <w:r w:rsidR="00B8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ekleri mesai saatleri </w:t>
            </w:r>
            <w:proofErr w:type="gramStart"/>
            <w:r w:rsidR="00B82FCB">
              <w:rPr>
                <w:rFonts w:ascii="Times New Roman" w:eastAsia="Times New Roman" w:hAnsi="Times New Roman" w:cs="Times New Roman"/>
                <w:sz w:val="24"/>
                <w:szCs w:val="24"/>
              </w:rPr>
              <w:t>dahilinde</w:t>
            </w:r>
            <w:proofErr w:type="gramEnd"/>
            <w:r w:rsidR="00B8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Suşehri Köylere Hizmet Götürme Birliği</w:t>
            </w: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Başkanlığında ücretsiz olarak görülebilir. </w:t>
            </w:r>
          </w:p>
        </w:tc>
      </w:tr>
      <w:tr w:rsidR="00F20F6C" w:rsidRPr="00F20F6C" w:rsidTr="009C56DE">
        <w:trPr>
          <w:gridAfter w:val="37"/>
          <w:wAfter w:w="4001" w:type="dxa"/>
          <w:trHeight w:val="315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12" w:type="dxa"/>
            <w:tcBorders>
              <w:top w:val="nil"/>
              <w:left w:val="nil"/>
              <w:bottom w:val="nil"/>
              <w:right w:val="nil"/>
            </w:tcBorders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B8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İstekliler  2886 sayılı Devlet İhale Kanununun 37. maddesine  uygun olarak hazırlanacak tekliflerini ilanda belirtilen ihale saatine kadar ihale komisyon başkanlığına</w:t>
            </w:r>
            <w:r w:rsidR="00B8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ulaşması şartıyla iadeli </w:t>
            </w:r>
            <w:proofErr w:type="spellStart"/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taahütlü</w:t>
            </w:r>
            <w:proofErr w:type="spellEnd"/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bir mektupla da gönderebilirler. </w:t>
            </w:r>
          </w:p>
        </w:tc>
      </w:tr>
      <w:tr w:rsidR="00F20F6C" w:rsidRPr="00F20F6C" w:rsidTr="009C56DE">
        <w:trPr>
          <w:gridAfter w:val="37"/>
          <w:wAfter w:w="4001" w:type="dxa"/>
          <w:trHeight w:val="345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Postada meydana gelebilecek gecikmelerden dolayı idare ve komisyon herhangi bir sorumluluk kabul etmez.</w:t>
            </w:r>
          </w:p>
        </w:tc>
      </w:tr>
      <w:tr w:rsidR="00F20F6C" w:rsidRPr="00F20F6C" w:rsidTr="009C56DE">
        <w:trPr>
          <w:gridAfter w:val="37"/>
          <w:wAfter w:w="4001" w:type="dxa"/>
          <w:trHeight w:val="285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Komisyon ihaleyi yapıp yapmamakta serbesttir.</w:t>
            </w:r>
          </w:p>
        </w:tc>
      </w:tr>
      <w:tr w:rsidR="00F20F6C" w:rsidRPr="00F20F6C" w:rsidTr="009C56DE">
        <w:trPr>
          <w:gridAfter w:val="37"/>
          <w:wAfter w:w="4001" w:type="dxa"/>
          <w:trHeight w:val="330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0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B8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İhale ilanı </w:t>
            </w:r>
            <w:r w:rsidR="00B8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Suşehri Kaymakamlığı ilan panosunda da görülebilecektir. </w:t>
            </w:r>
          </w:p>
        </w:tc>
      </w:tr>
      <w:tr w:rsidR="00F20F6C" w:rsidRPr="00F20F6C" w:rsidTr="009C56DE">
        <w:trPr>
          <w:trHeight w:val="285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F20F6C" w:rsidRPr="00F20F6C" w:rsidRDefault="00F20F6C" w:rsidP="00F2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İlan Olunur. </w:t>
            </w:r>
          </w:p>
          <w:p w:rsidR="00F20F6C" w:rsidRPr="00F20F6C" w:rsidRDefault="00F20F6C" w:rsidP="00F2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1217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5"/>
              <w:gridCol w:w="1226"/>
              <w:gridCol w:w="811"/>
              <w:gridCol w:w="771"/>
              <w:gridCol w:w="466"/>
              <w:gridCol w:w="676"/>
              <w:gridCol w:w="1226"/>
              <w:gridCol w:w="574"/>
              <w:gridCol w:w="1310"/>
              <w:gridCol w:w="949"/>
              <w:gridCol w:w="1136"/>
              <w:gridCol w:w="865"/>
              <w:gridCol w:w="1704"/>
            </w:tblGrid>
            <w:tr w:rsidR="003B3794" w:rsidRPr="00F20F6C" w:rsidTr="003B3794">
              <w:trPr>
                <w:trHeight w:val="1111"/>
              </w:trPr>
              <w:tc>
                <w:tcPr>
                  <w:tcW w:w="46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top w:w="22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3B3794" w:rsidRPr="00F20F6C" w:rsidRDefault="003B3794" w:rsidP="00F20F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0F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Sıra</w:t>
                  </w:r>
                  <w:r w:rsidRPr="00F20F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 No</w:t>
                  </w:r>
                </w:p>
              </w:tc>
              <w:tc>
                <w:tcPr>
                  <w:tcW w:w="122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tcMar>
                    <w:top w:w="22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3B3794" w:rsidRPr="00F20F6C" w:rsidRDefault="003B3794" w:rsidP="00B82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0F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İlçesi /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Köyü </w:t>
                  </w:r>
                </w:p>
              </w:tc>
              <w:tc>
                <w:tcPr>
                  <w:tcW w:w="81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tcMar>
                    <w:top w:w="22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3B3794" w:rsidRPr="00F20F6C" w:rsidRDefault="003B3794" w:rsidP="00F20F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0F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Mevkii</w:t>
                  </w:r>
                </w:p>
              </w:tc>
              <w:tc>
                <w:tcPr>
                  <w:tcW w:w="77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22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3B3794" w:rsidRPr="00F20F6C" w:rsidRDefault="003B3794" w:rsidP="00F20F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0F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Cinsi</w:t>
                  </w:r>
                </w:p>
              </w:tc>
              <w:tc>
                <w:tcPr>
                  <w:tcW w:w="46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cMar>
                    <w:top w:w="22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3B3794" w:rsidRPr="00B82FCB" w:rsidRDefault="003B3794" w:rsidP="00F20F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82F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Ada</w:t>
                  </w:r>
                </w:p>
              </w:tc>
              <w:tc>
                <w:tcPr>
                  <w:tcW w:w="67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22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3B3794" w:rsidRPr="00B82FCB" w:rsidRDefault="003B3794" w:rsidP="00F20F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82FC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Parsel</w:t>
                  </w:r>
                </w:p>
              </w:tc>
              <w:tc>
                <w:tcPr>
                  <w:tcW w:w="122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tcMar>
                    <w:top w:w="22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3B3794" w:rsidRPr="00F20F6C" w:rsidRDefault="003B3794" w:rsidP="00F20F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0F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Yüzölçümü</w:t>
                  </w:r>
                  <w:r w:rsidRPr="00F20F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m2</w:t>
                  </w:r>
                </w:p>
              </w:tc>
              <w:tc>
                <w:tcPr>
                  <w:tcW w:w="57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tcMar>
                    <w:top w:w="22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3B3794" w:rsidRPr="00F20F6C" w:rsidRDefault="003B3794" w:rsidP="00F20F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0F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Payı</w:t>
                  </w:r>
                </w:p>
              </w:tc>
              <w:tc>
                <w:tcPr>
                  <w:tcW w:w="131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top w:w="22" w:type="dxa"/>
                    <w:left w:w="22" w:type="dxa"/>
                    <w:bottom w:w="15" w:type="dxa"/>
                    <w:right w:w="22" w:type="dxa"/>
                  </w:tcMar>
                  <w:vAlign w:val="bottom"/>
                  <w:hideMark/>
                </w:tcPr>
                <w:p w:rsidR="003B3794" w:rsidRPr="00F20F6C" w:rsidRDefault="003B3794" w:rsidP="00F20F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0F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Kiralanacak Alan</w:t>
                  </w:r>
                </w:p>
              </w:tc>
              <w:tc>
                <w:tcPr>
                  <w:tcW w:w="94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top w:w="22" w:type="dxa"/>
                    <w:left w:w="22" w:type="dxa"/>
                    <w:bottom w:w="15" w:type="dxa"/>
                    <w:right w:w="22" w:type="dxa"/>
                  </w:tcMar>
                  <w:vAlign w:val="bottom"/>
                  <w:hideMark/>
                </w:tcPr>
                <w:p w:rsidR="003B3794" w:rsidRPr="00F20F6C" w:rsidRDefault="003B3794" w:rsidP="00F20F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0F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Kiralama Süresi</w:t>
                  </w:r>
                </w:p>
              </w:tc>
              <w:tc>
                <w:tcPr>
                  <w:tcW w:w="113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tcMar>
                    <w:top w:w="22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3B3794" w:rsidRPr="00F20F6C" w:rsidRDefault="003B3794" w:rsidP="00F20F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20F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Geçici</w:t>
                  </w:r>
                  <w:r w:rsidRPr="00F20F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Teminatı TL.</w:t>
                  </w:r>
                  <w:proofErr w:type="gramEnd"/>
                </w:p>
              </w:tc>
              <w:tc>
                <w:tcPr>
                  <w:tcW w:w="865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tcMar>
                    <w:top w:w="22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3B3794" w:rsidRPr="00F20F6C" w:rsidRDefault="003B3794" w:rsidP="00F20F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0F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Şartname Bedeli (TL)</w:t>
                  </w:r>
                </w:p>
              </w:tc>
              <w:tc>
                <w:tcPr>
                  <w:tcW w:w="1704" w:type="dxa"/>
                  <w:tcBorders>
                    <w:top w:val="single" w:sz="8" w:space="0" w:color="auto"/>
                    <w:left w:val="nil"/>
                    <w:right w:val="single" w:sz="4" w:space="0" w:color="000000"/>
                  </w:tcBorders>
                  <w:tcMar>
                    <w:top w:w="22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3B3794" w:rsidRPr="00F20F6C" w:rsidRDefault="003B3794" w:rsidP="00F20F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0F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İhale</w:t>
                  </w:r>
                  <w:r w:rsidRPr="00F20F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Tarihi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ve saati </w:t>
                  </w:r>
                </w:p>
              </w:tc>
            </w:tr>
            <w:tr w:rsidR="003B3794" w:rsidRPr="00F20F6C" w:rsidTr="003B3794">
              <w:trPr>
                <w:trHeight w:val="1275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tcMar>
                    <w:top w:w="22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3B3794" w:rsidRPr="00F20F6C" w:rsidRDefault="003B3794" w:rsidP="00F20F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0F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tcMar>
                    <w:top w:w="22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3B3794" w:rsidRPr="00F20F6C" w:rsidRDefault="003B3794" w:rsidP="00F20F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Suşehri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Esenyaka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Köyü 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noWrap/>
                  <w:tcMar>
                    <w:top w:w="22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3B3794" w:rsidRPr="00F20F6C" w:rsidRDefault="003B3794" w:rsidP="00F20F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20F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Köyiçi</w:t>
                  </w:r>
                  <w:proofErr w:type="spellEnd"/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tcMar>
                    <w:top w:w="22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3B3794" w:rsidRPr="00F20F6C" w:rsidRDefault="003B3794" w:rsidP="00F20F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Yöresel Ürün Pazar Yeri 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tcMar>
                    <w:top w:w="22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3B3794" w:rsidRPr="00F20F6C" w:rsidRDefault="003B3794" w:rsidP="00F20F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0F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noWrap/>
                  <w:tcMar>
                    <w:top w:w="22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3B3794" w:rsidRPr="00F20F6C" w:rsidRDefault="003B3794" w:rsidP="00B82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0F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noWrap/>
                  <w:tcMar>
                    <w:top w:w="22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3B3794" w:rsidRPr="00F20F6C" w:rsidRDefault="003B3794" w:rsidP="00B82F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10.604,46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noWrap/>
                  <w:tcMar>
                    <w:top w:w="22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3B3794" w:rsidRPr="00F20F6C" w:rsidRDefault="003B3794" w:rsidP="00F20F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0F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Tam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tcMar>
                    <w:top w:w="22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3B3794" w:rsidRPr="00F20F6C" w:rsidRDefault="003B3794" w:rsidP="00F20F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10.604,46</w:t>
                  </w:r>
                  <w:r w:rsidRPr="00F20F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m²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22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3B3794" w:rsidRPr="00F20F6C" w:rsidRDefault="003B3794" w:rsidP="00F20F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F20F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Yıl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noWrap/>
                  <w:tcMar>
                    <w:top w:w="22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3B3794" w:rsidRPr="00F20F6C" w:rsidRDefault="003B3794" w:rsidP="003B37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48</w:t>
                  </w:r>
                  <w:r w:rsidRPr="00F20F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noWrap/>
                  <w:tcMar>
                    <w:top w:w="22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3B3794" w:rsidRPr="00F20F6C" w:rsidRDefault="003B3794" w:rsidP="00B82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  <w:r w:rsidRPr="00F20F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tcMar>
                    <w:top w:w="22" w:type="dxa"/>
                    <w:left w:w="22" w:type="dxa"/>
                    <w:bottom w:w="15" w:type="dxa"/>
                    <w:right w:w="22" w:type="dxa"/>
                  </w:tcMar>
                  <w:vAlign w:val="center"/>
                  <w:hideMark/>
                </w:tcPr>
                <w:p w:rsidR="003B3794" w:rsidRPr="00F20F6C" w:rsidRDefault="008B3D7F" w:rsidP="00B82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  <w:r w:rsidR="003B3794" w:rsidRPr="00F20F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  <w:r w:rsidR="003B37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3B3794" w:rsidRPr="00F20F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.202</w:t>
                  </w:r>
                  <w:r w:rsidR="003B37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  <w:p w:rsidR="003B3794" w:rsidRPr="00F20F6C" w:rsidRDefault="003B3794" w:rsidP="00F20F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20F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14:00</w:t>
                  </w:r>
                  <w:proofErr w:type="gramEnd"/>
                </w:p>
              </w:tc>
            </w:tr>
          </w:tbl>
          <w:p w:rsidR="00F20F6C" w:rsidRPr="00F20F6C" w:rsidRDefault="00F20F6C" w:rsidP="00F20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hideMark/>
          </w:tcPr>
          <w:p w:rsidR="00F20F6C" w:rsidRPr="00F20F6C" w:rsidRDefault="00F20F6C" w:rsidP="00F2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vAlign w:val="bottom"/>
            <w:hideMark/>
          </w:tcPr>
          <w:p w:rsidR="00F20F6C" w:rsidRPr="00F20F6C" w:rsidRDefault="00F20F6C" w:rsidP="00F2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" w:type="dxa"/>
              <w:left w:w="22" w:type="dxa"/>
              <w:bottom w:w="15" w:type="dxa"/>
              <w:right w:w="22" w:type="dxa"/>
            </w:tcMar>
            <w:vAlign w:val="bottom"/>
            <w:hideMark/>
          </w:tcPr>
          <w:p w:rsidR="00F20F6C" w:rsidRPr="00F20F6C" w:rsidRDefault="00F20F6C" w:rsidP="00F2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20F6C" w:rsidRPr="00F20F6C" w:rsidRDefault="00F20F6C" w:rsidP="00F20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35"/>
          <w:szCs w:val="35"/>
        </w:rPr>
      </w:pPr>
      <w:r w:rsidRPr="00F20F6C">
        <w:rPr>
          <w:rFonts w:ascii="Arial" w:eastAsia="Times New Roman" w:hAnsi="Arial" w:cs="Arial"/>
          <w:color w:val="4F4F4F"/>
          <w:sz w:val="35"/>
          <w:szCs w:val="35"/>
        </w:rPr>
        <w:t> </w:t>
      </w:r>
    </w:p>
    <w:p w:rsidR="00D000F2" w:rsidRDefault="00D000F2"/>
    <w:sectPr w:rsidR="00D000F2" w:rsidSect="00F20F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20F6C"/>
    <w:rsid w:val="000947AD"/>
    <w:rsid w:val="000C42CB"/>
    <w:rsid w:val="00205321"/>
    <w:rsid w:val="003B3794"/>
    <w:rsid w:val="003F52CA"/>
    <w:rsid w:val="00400D63"/>
    <w:rsid w:val="00486E77"/>
    <w:rsid w:val="004876C8"/>
    <w:rsid w:val="008B3D7F"/>
    <w:rsid w:val="009C56DE"/>
    <w:rsid w:val="00B82FCB"/>
    <w:rsid w:val="00C17215"/>
    <w:rsid w:val="00D000F2"/>
    <w:rsid w:val="00F2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4037">
          <w:marLeft w:val="-327"/>
          <w:marRight w:val="-327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5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CCEE9-80BC-484B-94CF-4F6BE37A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ASUS</cp:lastModifiedBy>
  <cp:revision>8</cp:revision>
  <cp:lastPrinted>2022-06-21T11:34:00Z</cp:lastPrinted>
  <dcterms:created xsi:type="dcterms:W3CDTF">2022-06-15T12:08:00Z</dcterms:created>
  <dcterms:modified xsi:type="dcterms:W3CDTF">2022-06-22T13:24:00Z</dcterms:modified>
</cp:coreProperties>
</file>